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96" w:rsidRDefault="00D76796"/>
    <w:p w:rsidR="00D76796" w:rsidRDefault="00782109">
      <w:r>
        <w:t>Version 1.1 dated 10 December 2012</w:t>
      </w:r>
      <w:bookmarkStart w:id="0" w:name="_GoBack"/>
      <w:bookmarkEnd w:id="0"/>
    </w:p>
    <w:tbl>
      <w:tblPr>
        <w:tblStyle w:val="TableGrid"/>
        <w:tblW w:w="0" w:type="auto"/>
        <w:tblLook w:val="04A0" w:firstRow="1" w:lastRow="0" w:firstColumn="1" w:lastColumn="0" w:noHBand="0" w:noVBand="1"/>
      </w:tblPr>
      <w:tblGrid>
        <w:gridCol w:w="2898"/>
        <w:gridCol w:w="1800"/>
        <w:gridCol w:w="1890"/>
        <w:gridCol w:w="1526"/>
        <w:gridCol w:w="1462"/>
      </w:tblGrid>
      <w:tr w:rsidR="00811389" w:rsidRPr="0049096D" w:rsidTr="004A6F7B">
        <w:tc>
          <w:tcPr>
            <w:tcW w:w="2898" w:type="dxa"/>
          </w:tcPr>
          <w:p w:rsidR="00811389" w:rsidRPr="0049096D" w:rsidRDefault="0049096D">
            <w:pPr>
              <w:rPr>
                <w:b/>
                <w:sz w:val="24"/>
                <w:szCs w:val="24"/>
              </w:rPr>
            </w:pPr>
            <w:r w:rsidRPr="0049096D">
              <w:rPr>
                <w:b/>
                <w:sz w:val="24"/>
                <w:szCs w:val="24"/>
              </w:rPr>
              <w:t>USA HUMINT/OSINT 2012</w:t>
            </w:r>
          </w:p>
        </w:tc>
        <w:tc>
          <w:tcPr>
            <w:tcW w:w="1800" w:type="dxa"/>
          </w:tcPr>
          <w:p w:rsidR="00811389" w:rsidRPr="0049096D" w:rsidRDefault="00811389" w:rsidP="00811389">
            <w:pPr>
              <w:jc w:val="center"/>
              <w:rPr>
                <w:b/>
                <w:sz w:val="24"/>
                <w:szCs w:val="24"/>
              </w:rPr>
            </w:pPr>
            <w:r w:rsidRPr="0049096D">
              <w:rPr>
                <w:b/>
                <w:sz w:val="24"/>
                <w:szCs w:val="24"/>
              </w:rPr>
              <w:t>Strategic</w:t>
            </w:r>
          </w:p>
        </w:tc>
        <w:tc>
          <w:tcPr>
            <w:tcW w:w="1890" w:type="dxa"/>
            <w:tcBorders>
              <w:bottom w:val="single" w:sz="4" w:space="0" w:color="auto"/>
            </w:tcBorders>
          </w:tcPr>
          <w:p w:rsidR="00811389" w:rsidRPr="0049096D" w:rsidRDefault="00811389" w:rsidP="00811389">
            <w:pPr>
              <w:jc w:val="center"/>
              <w:rPr>
                <w:b/>
                <w:sz w:val="24"/>
                <w:szCs w:val="24"/>
              </w:rPr>
            </w:pPr>
            <w:r w:rsidRPr="0049096D">
              <w:rPr>
                <w:b/>
                <w:sz w:val="24"/>
                <w:szCs w:val="24"/>
              </w:rPr>
              <w:t>Operational</w:t>
            </w:r>
          </w:p>
        </w:tc>
        <w:tc>
          <w:tcPr>
            <w:tcW w:w="1526" w:type="dxa"/>
            <w:tcBorders>
              <w:bottom w:val="single" w:sz="4" w:space="0" w:color="auto"/>
            </w:tcBorders>
          </w:tcPr>
          <w:p w:rsidR="00811389" w:rsidRPr="0049096D" w:rsidRDefault="00811389" w:rsidP="00811389">
            <w:pPr>
              <w:jc w:val="center"/>
              <w:rPr>
                <w:b/>
                <w:sz w:val="24"/>
                <w:szCs w:val="24"/>
              </w:rPr>
            </w:pPr>
            <w:r w:rsidRPr="0049096D">
              <w:rPr>
                <w:b/>
                <w:sz w:val="24"/>
                <w:szCs w:val="24"/>
              </w:rPr>
              <w:t>Tactical</w:t>
            </w:r>
          </w:p>
        </w:tc>
        <w:tc>
          <w:tcPr>
            <w:tcW w:w="1462" w:type="dxa"/>
            <w:tcBorders>
              <w:bottom w:val="single" w:sz="4" w:space="0" w:color="auto"/>
            </w:tcBorders>
          </w:tcPr>
          <w:p w:rsidR="00811389" w:rsidRPr="0049096D" w:rsidRDefault="00811389" w:rsidP="00811389">
            <w:pPr>
              <w:jc w:val="center"/>
              <w:rPr>
                <w:b/>
                <w:sz w:val="24"/>
                <w:szCs w:val="24"/>
              </w:rPr>
            </w:pPr>
            <w:r w:rsidRPr="0049096D">
              <w:rPr>
                <w:b/>
                <w:sz w:val="24"/>
                <w:szCs w:val="24"/>
              </w:rPr>
              <w:t>Technical</w:t>
            </w:r>
          </w:p>
        </w:tc>
      </w:tr>
      <w:tr w:rsidR="00811389" w:rsidTr="00782109">
        <w:tc>
          <w:tcPr>
            <w:tcW w:w="2898" w:type="dxa"/>
          </w:tcPr>
          <w:p w:rsidR="00811389" w:rsidRPr="0049096D" w:rsidRDefault="00811389">
            <w:pPr>
              <w:rPr>
                <w:b/>
              </w:rPr>
            </w:pPr>
            <w:r w:rsidRPr="0049096D">
              <w:rPr>
                <w:b/>
              </w:rPr>
              <w:t>01 HUMAN INTELLIGENCE Clandestine</w:t>
            </w:r>
          </w:p>
        </w:tc>
        <w:tc>
          <w:tcPr>
            <w:tcW w:w="1800" w:type="dxa"/>
            <w:shd w:val="clear" w:color="auto" w:fill="FF0000"/>
          </w:tcPr>
          <w:p w:rsidR="00811389" w:rsidRDefault="00811389"/>
        </w:tc>
        <w:tc>
          <w:tcPr>
            <w:tcW w:w="1890" w:type="dxa"/>
            <w:shd w:val="clear" w:color="auto" w:fill="FFFF00"/>
          </w:tcPr>
          <w:p w:rsidR="00811389" w:rsidRDefault="00811389"/>
        </w:tc>
        <w:tc>
          <w:tcPr>
            <w:tcW w:w="1526" w:type="dxa"/>
            <w:shd w:val="clear" w:color="auto" w:fill="FFFF00"/>
          </w:tcPr>
          <w:p w:rsidR="00811389" w:rsidRDefault="00811389"/>
        </w:tc>
        <w:tc>
          <w:tcPr>
            <w:tcW w:w="1462" w:type="dxa"/>
            <w:shd w:val="clear" w:color="auto" w:fill="FF0000"/>
          </w:tcPr>
          <w:p w:rsidR="00811389" w:rsidRDefault="00811389"/>
        </w:tc>
      </w:tr>
      <w:tr w:rsidR="00811389" w:rsidTr="00782109">
        <w:tc>
          <w:tcPr>
            <w:tcW w:w="2898" w:type="dxa"/>
          </w:tcPr>
          <w:p w:rsidR="00811389" w:rsidRPr="0049096D" w:rsidRDefault="00811389">
            <w:pPr>
              <w:rPr>
                <w:b/>
              </w:rPr>
            </w:pPr>
            <w:r w:rsidRPr="0049096D">
              <w:rPr>
                <w:b/>
              </w:rPr>
              <w:t>02 HUMAN INTELLIGENCE Covert</w:t>
            </w:r>
          </w:p>
        </w:tc>
        <w:tc>
          <w:tcPr>
            <w:tcW w:w="1800" w:type="dxa"/>
            <w:shd w:val="clear" w:color="auto" w:fill="FF0000"/>
          </w:tcPr>
          <w:p w:rsidR="00811389" w:rsidRDefault="00811389"/>
        </w:tc>
        <w:tc>
          <w:tcPr>
            <w:tcW w:w="1890" w:type="dxa"/>
            <w:shd w:val="clear" w:color="auto" w:fill="FF0000"/>
          </w:tcPr>
          <w:p w:rsidR="00811389" w:rsidRDefault="00811389"/>
        </w:tc>
        <w:tc>
          <w:tcPr>
            <w:tcW w:w="1526" w:type="dxa"/>
            <w:shd w:val="clear" w:color="auto" w:fill="FFFF00"/>
          </w:tcPr>
          <w:p w:rsidR="00811389" w:rsidRDefault="00811389"/>
        </w:tc>
        <w:tc>
          <w:tcPr>
            <w:tcW w:w="1462" w:type="dxa"/>
            <w:shd w:val="clear" w:color="auto" w:fill="FF0000"/>
          </w:tcPr>
          <w:p w:rsidR="00811389" w:rsidRDefault="00811389"/>
        </w:tc>
      </w:tr>
      <w:tr w:rsidR="00811389" w:rsidTr="004A6F7B">
        <w:tc>
          <w:tcPr>
            <w:tcW w:w="2898" w:type="dxa"/>
          </w:tcPr>
          <w:p w:rsidR="00811389" w:rsidRPr="0049096D" w:rsidRDefault="00811389">
            <w:pPr>
              <w:rPr>
                <w:b/>
              </w:rPr>
            </w:pPr>
            <w:r w:rsidRPr="0049096D">
              <w:rPr>
                <w:b/>
              </w:rPr>
              <w:t>03 COUNTERINTELLIGENCE Offensive</w:t>
            </w:r>
          </w:p>
        </w:tc>
        <w:tc>
          <w:tcPr>
            <w:tcW w:w="1800" w:type="dxa"/>
            <w:tcBorders>
              <w:bottom w:val="single" w:sz="4" w:space="0" w:color="auto"/>
            </w:tcBorders>
            <w:shd w:val="clear" w:color="auto" w:fill="FF0000"/>
          </w:tcPr>
          <w:p w:rsidR="00811389" w:rsidRDefault="00811389"/>
        </w:tc>
        <w:tc>
          <w:tcPr>
            <w:tcW w:w="1890" w:type="dxa"/>
            <w:shd w:val="clear" w:color="auto" w:fill="FF0000"/>
          </w:tcPr>
          <w:p w:rsidR="00811389" w:rsidRDefault="00811389"/>
        </w:tc>
        <w:tc>
          <w:tcPr>
            <w:tcW w:w="1526" w:type="dxa"/>
            <w:shd w:val="clear" w:color="auto" w:fill="FF0000"/>
          </w:tcPr>
          <w:p w:rsidR="00811389" w:rsidRDefault="00811389"/>
        </w:tc>
        <w:tc>
          <w:tcPr>
            <w:tcW w:w="1462" w:type="dxa"/>
            <w:shd w:val="clear" w:color="auto" w:fill="FF0000"/>
          </w:tcPr>
          <w:p w:rsidR="00811389" w:rsidRDefault="00811389"/>
        </w:tc>
      </w:tr>
      <w:tr w:rsidR="00811389" w:rsidTr="0049096D">
        <w:tc>
          <w:tcPr>
            <w:tcW w:w="2898" w:type="dxa"/>
          </w:tcPr>
          <w:p w:rsidR="00811389" w:rsidRPr="0049096D" w:rsidRDefault="00811389">
            <w:pPr>
              <w:rPr>
                <w:b/>
              </w:rPr>
            </w:pPr>
            <w:r w:rsidRPr="0049096D">
              <w:rPr>
                <w:b/>
              </w:rPr>
              <w:t>04 COUNTERINTELLIGENCE Defensive</w:t>
            </w:r>
          </w:p>
        </w:tc>
        <w:tc>
          <w:tcPr>
            <w:tcW w:w="1800" w:type="dxa"/>
            <w:shd w:val="clear" w:color="auto" w:fill="FFFF00"/>
          </w:tcPr>
          <w:p w:rsidR="00811389" w:rsidRDefault="00811389"/>
        </w:tc>
        <w:tc>
          <w:tcPr>
            <w:tcW w:w="1890" w:type="dxa"/>
            <w:shd w:val="clear" w:color="auto" w:fill="FF0000"/>
          </w:tcPr>
          <w:p w:rsidR="00811389" w:rsidRDefault="00811389"/>
        </w:tc>
        <w:tc>
          <w:tcPr>
            <w:tcW w:w="1526" w:type="dxa"/>
            <w:shd w:val="clear" w:color="auto" w:fill="FF0000"/>
          </w:tcPr>
          <w:p w:rsidR="00811389" w:rsidRDefault="00811389"/>
        </w:tc>
        <w:tc>
          <w:tcPr>
            <w:tcW w:w="1462" w:type="dxa"/>
            <w:tcBorders>
              <w:bottom w:val="single" w:sz="4" w:space="0" w:color="auto"/>
            </w:tcBorders>
            <w:shd w:val="clear" w:color="auto" w:fill="FF0000"/>
          </w:tcPr>
          <w:p w:rsidR="00811389" w:rsidRDefault="00811389"/>
        </w:tc>
      </w:tr>
      <w:tr w:rsidR="00811389" w:rsidTr="0049096D">
        <w:tc>
          <w:tcPr>
            <w:tcW w:w="2898" w:type="dxa"/>
          </w:tcPr>
          <w:p w:rsidR="00811389" w:rsidRPr="0049096D" w:rsidRDefault="00811389">
            <w:pPr>
              <w:rPr>
                <w:b/>
              </w:rPr>
            </w:pPr>
            <w:r w:rsidRPr="0049096D">
              <w:rPr>
                <w:b/>
              </w:rPr>
              <w:t>05 Service Covert Hides</w:t>
            </w:r>
            <w:r w:rsidR="00D76796" w:rsidRPr="0049096D">
              <w:rPr>
                <w:b/>
              </w:rPr>
              <w:t>, Coast Watchers, Picket Lines</w:t>
            </w:r>
          </w:p>
        </w:tc>
        <w:tc>
          <w:tcPr>
            <w:tcW w:w="1800" w:type="dxa"/>
            <w:shd w:val="clear" w:color="auto" w:fill="FF0000"/>
          </w:tcPr>
          <w:p w:rsidR="00811389" w:rsidRDefault="00811389"/>
        </w:tc>
        <w:tc>
          <w:tcPr>
            <w:tcW w:w="1890" w:type="dxa"/>
            <w:shd w:val="clear" w:color="auto" w:fill="FF0000"/>
          </w:tcPr>
          <w:p w:rsidR="00811389" w:rsidRDefault="00811389"/>
        </w:tc>
        <w:tc>
          <w:tcPr>
            <w:tcW w:w="1526" w:type="dxa"/>
            <w:shd w:val="clear" w:color="auto" w:fill="FF0000"/>
          </w:tcPr>
          <w:p w:rsidR="00811389" w:rsidRDefault="00811389"/>
        </w:tc>
        <w:tc>
          <w:tcPr>
            <w:tcW w:w="1462" w:type="dxa"/>
            <w:shd w:val="clear" w:color="auto" w:fill="FF0000"/>
          </w:tcPr>
          <w:p w:rsidR="00811389" w:rsidRDefault="00811389"/>
        </w:tc>
      </w:tr>
      <w:tr w:rsidR="00811389" w:rsidTr="0049096D">
        <w:tc>
          <w:tcPr>
            <w:tcW w:w="2898" w:type="dxa"/>
          </w:tcPr>
          <w:p w:rsidR="00811389" w:rsidRPr="0049096D" w:rsidRDefault="00811389">
            <w:pPr>
              <w:rPr>
                <w:b/>
              </w:rPr>
            </w:pPr>
            <w:r w:rsidRPr="0049096D">
              <w:rPr>
                <w:b/>
              </w:rPr>
              <w:t>06 Service Interrogator-Translator Teams</w:t>
            </w:r>
            <w:r w:rsidR="00D76796" w:rsidRPr="0049096D">
              <w:rPr>
                <w:b/>
              </w:rPr>
              <w:t xml:space="preserve"> (ITT)</w:t>
            </w:r>
          </w:p>
        </w:tc>
        <w:tc>
          <w:tcPr>
            <w:tcW w:w="1800" w:type="dxa"/>
            <w:shd w:val="clear" w:color="auto" w:fill="FFFF00"/>
          </w:tcPr>
          <w:p w:rsidR="00811389" w:rsidRDefault="00811389"/>
        </w:tc>
        <w:tc>
          <w:tcPr>
            <w:tcW w:w="1890" w:type="dxa"/>
            <w:shd w:val="clear" w:color="auto" w:fill="FF0000"/>
          </w:tcPr>
          <w:p w:rsidR="00811389" w:rsidRDefault="00811389"/>
        </w:tc>
        <w:tc>
          <w:tcPr>
            <w:tcW w:w="1526" w:type="dxa"/>
            <w:shd w:val="clear" w:color="auto" w:fill="FFFF00"/>
          </w:tcPr>
          <w:p w:rsidR="00811389" w:rsidRDefault="00811389"/>
        </w:tc>
        <w:tc>
          <w:tcPr>
            <w:tcW w:w="1462" w:type="dxa"/>
            <w:shd w:val="clear" w:color="auto" w:fill="FF0000"/>
          </w:tcPr>
          <w:p w:rsidR="00811389" w:rsidRDefault="00811389"/>
        </w:tc>
      </w:tr>
      <w:tr w:rsidR="00D76796" w:rsidTr="0049096D">
        <w:tc>
          <w:tcPr>
            <w:tcW w:w="2898" w:type="dxa"/>
          </w:tcPr>
          <w:p w:rsidR="00D76796" w:rsidRPr="0049096D" w:rsidRDefault="00D76796">
            <w:pPr>
              <w:rPr>
                <w:b/>
              </w:rPr>
            </w:pPr>
            <w:r w:rsidRPr="0049096D">
              <w:rPr>
                <w:b/>
              </w:rPr>
              <w:t>07 Human Terrain Teams (HTT), Maritime Teams (MT)</w:t>
            </w:r>
          </w:p>
        </w:tc>
        <w:tc>
          <w:tcPr>
            <w:tcW w:w="1800" w:type="dxa"/>
            <w:tcBorders>
              <w:bottom w:val="single" w:sz="4" w:space="0" w:color="auto"/>
            </w:tcBorders>
            <w:shd w:val="clear" w:color="auto" w:fill="FF0000"/>
          </w:tcPr>
          <w:p w:rsidR="00D76796" w:rsidRDefault="00D76796"/>
        </w:tc>
        <w:tc>
          <w:tcPr>
            <w:tcW w:w="1890" w:type="dxa"/>
            <w:shd w:val="clear" w:color="auto" w:fill="FF0000"/>
          </w:tcPr>
          <w:p w:rsidR="00D76796" w:rsidRDefault="00D76796"/>
        </w:tc>
        <w:tc>
          <w:tcPr>
            <w:tcW w:w="1526" w:type="dxa"/>
            <w:tcBorders>
              <w:bottom w:val="single" w:sz="4" w:space="0" w:color="auto"/>
            </w:tcBorders>
            <w:shd w:val="clear" w:color="auto" w:fill="FF0000"/>
          </w:tcPr>
          <w:p w:rsidR="00D76796" w:rsidRDefault="00D76796"/>
        </w:tc>
        <w:tc>
          <w:tcPr>
            <w:tcW w:w="1462" w:type="dxa"/>
            <w:tcBorders>
              <w:bottom w:val="single" w:sz="4" w:space="0" w:color="auto"/>
            </w:tcBorders>
            <w:shd w:val="clear" w:color="auto" w:fill="FF0000"/>
          </w:tcPr>
          <w:p w:rsidR="00D76796" w:rsidRDefault="00D76796"/>
        </w:tc>
      </w:tr>
      <w:tr w:rsidR="00811389" w:rsidTr="004A6F7B">
        <w:tc>
          <w:tcPr>
            <w:tcW w:w="2898" w:type="dxa"/>
          </w:tcPr>
          <w:p w:rsidR="00811389" w:rsidRPr="0049096D" w:rsidRDefault="00811389" w:rsidP="00D76796">
            <w:pPr>
              <w:rPr>
                <w:b/>
              </w:rPr>
            </w:pPr>
            <w:r w:rsidRPr="0049096D">
              <w:rPr>
                <w:b/>
              </w:rPr>
              <w:t>0</w:t>
            </w:r>
            <w:r w:rsidR="00D76796" w:rsidRPr="0049096D">
              <w:rPr>
                <w:b/>
              </w:rPr>
              <w:t>8</w:t>
            </w:r>
            <w:r w:rsidRPr="0049096D">
              <w:rPr>
                <w:b/>
              </w:rPr>
              <w:t xml:space="preserve"> Defense Attaches, MAG, Liaison, TDY</w:t>
            </w:r>
          </w:p>
        </w:tc>
        <w:tc>
          <w:tcPr>
            <w:tcW w:w="1800" w:type="dxa"/>
            <w:shd w:val="clear" w:color="auto" w:fill="FFFF00"/>
          </w:tcPr>
          <w:p w:rsidR="00811389" w:rsidRDefault="00811389"/>
        </w:tc>
        <w:tc>
          <w:tcPr>
            <w:tcW w:w="1890" w:type="dxa"/>
            <w:tcBorders>
              <w:bottom w:val="single" w:sz="4" w:space="0" w:color="auto"/>
            </w:tcBorders>
            <w:shd w:val="clear" w:color="auto" w:fill="FFFF00"/>
          </w:tcPr>
          <w:p w:rsidR="00811389" w:rsidRDefault="00811389"/>
        </w:tc>
        <w:tc>
          <w:tcPr>
            <w:tcW w:w="1526" w:type="dxa"/>
            <w:tcBorders>
              <w:bottom w:val="single" w:sz="4" w:space="0" w:color="auto"/>
            </w:tcBorders>
            <w:shd w:val="clear" w:color="auto" w:fill="FF0000"/>
          </w:tcPr>
          <w:p w:rsidR="00811389" w:rsidRDefault="00811389"/>
        </w:tc>
        <w:tc>
          <w:tcPr>
            <w:tcW w:w="1462" w:type="dxa"/>
            <w:tcBorders>
              <w:bottom w:val="single" w:sz="4" w:space="0" w:color="auto"/>
            </w:tcBorders>
            <w:shd w:val="clear" w:color="auto" w:fill="FF0000"/>
          </w:tcPr>
          <w:p w:rsidR="00811389" w:rsidRDefault="00811389"/>
        </w:tc>
      </w:tr>
      <w:tr w:rsidR="004A6F7B" w:rsidTr="004A6F7B">
        <w:tc>
          <w:tcPr>
            <w:tcW w:w="2898" w:type="dxa"/>
          </w:tcPr>
          <w:p w:rsidR="00811389" w:rsidRPr="0049096D" w:rsidRDefault="00811389" w:rsidP="00D76796">
            <w:pPr>
              <w:rPr>
                <w:b/>
              </w:rPr>
            </w:pPr>
            <w:r w:rsidRPr="0049096D">
              <w:rPr>
                <w:b/>
              </w:rPr>
              <w:t>0</w:t>
            </w:r>
            <w:r w:rsidR="00D76796" w:rsidRPr="0049096D">
              <w:rPr>
                <w:b/>
              </w:rPr>
              <w:t>9</w:t>
            </w:r>
            <w:r w:rsidRPr="0049096D">
              <w:rPr>
                <w:b/>
              </w:rPr>
              <w:t xml:space="preserve"> Overt Subject Matter Experts (SME)</w:t>
            </w:r>
          </w:p>
        </w:tc>
        <w:tc>
          <w:tcPr>
            <w:tcW w:w="1800" w:type="dxa"/>
            <w:shd w:val="clear" w:color="auto" w:fill="FFFF00"/>
          </w:tcPr>
          <w:p w:rsidR="00811389" w:rsidRDefault="00811389"/>
        </w:tc>
        <w:tc>
          <w:tcPr>
            <w:tcW w:w="1890" w:type="dxa"/>
            <w:shd w:val="clear" w:color="auto" w:fill="FF0000"/>
          </w:tcPr>
          <w:p w:rsidR="00811389" w:rsidRDefault="00811389"/>
        </w:tc>
        <w:tc>
          <w:tcPr>
            <w:tcW w:w="1526" w:type="dxa"/>
            <w:shd w:val="clear" w:color="auto" w:fill="FF0000"/>
          </w:tcPr>
          <w:p w:rsidR="00811389" w:rsidRDefault="00811389"/>
        </w:tc>
        <w:tc>
          <w:tcPr>
            <w:tcW w:w="1462" w:type="dxa"/>
            <w:shd w:val="clear" w:color="auto" w:fill="FFFF00"/>
          </w:tcPr>
          <w:p w:rsidR="00811389" w:rsidRDefault="00811389"/>
        </w:tc>
      </w:tr>
      <w:tr w:rsidR="004A6F7B" w:rsidTr="0049096D">
        <w:tc>
          <w:tcPr>
            <w:tcW w:w="2898" w:type="dxa"/>
          </w:tcPr>
          <w:p w:rsidR="00811389" w:rsidRPr="0049096D" w:rsidRDefault="00D76796">
            <w:pPr>
              <w:rPr>
                <w:b/>
              </w:rPr>
            </w:pPr>
            <w:r w:rsidRPr="0049096D">
              <w:rPr>
                <w:b/>
              </w:rPr>
              <w:t>10</w:t>
            </w:r>
            <w:r w:rsidR="00811389" w:rsidRPr="0049096D">
              <w:rPr>
                <w:b/>
              </w:rPr>
              <w:t xml:space="preserve"> Document Discovery &amp; Exploitation</w:t>
            </w:r>
          </w:p>
        </w:tc>
        <w:tc>
          <w:tcPr>
            <w:tcW w:w="1800" w:type="dxa"/>
            <w:tcBorders>
              <w:bottom w:val="single" w:sz="4" w:space="0" w:color="auto"/>
            </w:tcBorders>
            <w:shd w:val="clear" w:color="auto" w:fill="FFFF00"/>
          </w:tcPr>
          <w:p w:rsidR="00811389" w:rsidRDefault="00811389"/>
        </w:tc>
        <w:tc>
          <w:tcPr>
            <w:tcW w:w="1890" w:type="dxa"/>
            <w:tcBorders>
              <w:bottom w:val="single" w:sz="4" w:space="0" w:color="auto"/>
            </w:tcBorders>
            <w:shd w:val="clear" w:color="auto" w:fill="FF0000"/>
          </w:tcPr>
          <w:p w:rsidR="00811389" w:rsidRDefault="00811389"/>
        </w:tc>
        <w:tc>
          <w:tcPr>
            <w:tcW w:w="1526" w:type="dxa"/>
            <w:tcBorders>
              <w:bottom w:val="single" w:sz="4" w:space="0" w:color="auto"/>
            </w:tcBorders>
            <w:shd w:val="clear" w:color="auto" w:fill="FF0000"/>
          </w:tcPr>
          <w:p w:rsidR="00811389" w:rsidRDefault="00811389"/>
        </w:tc>
        <w:tc>
          <w:tcPr>
            <w:tcW w:w="1462" w:type="dxa"/>
            <w:tcBorders>
              <w:bottom w:val="single" w:sz="4" w:space="0" w:color="auto"/>
            </w:tcBorders>
            <w:shd w:val="clear" w:color="auto" w:fill="FFFF00"/>
          </w:tcPr>
          <w:p w:rsidR="00811389" w:rsidRDefault="00811389"/>
        </w:tc>
      </w:tr>
      <w:tr w:rsidR="004A6F7B" w:rsidTr="00782109">
        <w:tc>
          <w:tcPr>
            <w:tcW w:w="2898" w:type="dxa"/>
          </w:tcPr>
          <w:p w:rsidR="00811389" w:rsidRPr="0049096D" w:rsidRDefault="00D76796" w:rsidP="0049096D">
            <w:pPr>
              <w:rPr>
                <w:b/>
              </w:rPr>
            </w:pPr>
            <w:r w:rsidRPr="0049096D">
              <w:rPr>
                <w:b/>
              </w:rPr>
              <w:t>11</w:t>
            </w:r>
            <w:r w:rsidR="00811389" w:rsidRPr="0049096D">
              <w:rPr>
                <w:b/>
              </w:rPr>
              <w:t xml:space="preserve"> </w:t>
            </w:r>
            <w:r w:rsidR="0049096D" w:rsidRPr="0049096D">
              <w:rPr>
                <w:b/>
              </w:rPr>
              <w:t xml:space="preserve">Close-In </w:t>
            </w:r>
            <w:r w:rsidR="00811389" w:rsidRPr="0049096D">
              <w:rPr>
                <w:b/>
              </w:rPr>
              <w:t xml:space="preserve">Observation &amp; </w:t>
            </w:r>
            <w:r w:rsidR="0049096D">
              <w:rPr>
                <w:b/>
              </w:rPr>
              <w:t xml:space="preserve">Listening </w:t>
            </w:r>
            <w:r w:rsidR="00811389" w:rsidRPr="0049096D">
              <w:rPr>
                <w:b/>
              </w:rPr>
              <w:t>Webcams</w:t>
            </w:r>
            <w:r w:rsidR="0049096D">
              <w:rPr>
                <w:b/>
              </w:rPr>
              <w:t>/Audio</w:t>
            </w:r>
          </w:p>
        </w:tc>
        <w:tc>
          <w:tcPr>
            <w:tcW w:w="1800" w:type="dxa"/>
            <w:shd w:val="clear" w:color="auto" w:fill="FF0000"/>
          </w:tcPr>
          <w:p w:rsidR="00811389" w:rsidRDefault="00811389"/>
        </w:tc>
        <w:tc>
          <w:tcPr>
            <w:tcW w:w="1890" w:type="dxa"/>
            <w:shd w:val="clear" w:color="auto" w:fill="FF0000"/>
          </w:tcPr>
          <w:p w:rsidR="00811389" w:rsidRDefault="00811389"/>
        </w:tc>
        <w:tc>
          <w:tcPr>
            <w:tcW w:w="1526" w:type="dxa"/>
            <w:shd w:val="clear" w:color="auto" w:fill="FFFF00"/>
          </w:tcPr>
          <w:p w:rsidR="00811389" w:rsidRDefault="00811389"/>
        </w:tc>
        <w:tc>
          <w:tcPr>
            <w:tcW w:w="1462" w:type="dxa"/>
            <w:shd w:val="clear" w:color="auto" w:fill="FF0000"/>
          </w:tcPr>
          <w:p w:rsidR="00811389" w:rsidRDefault="00811389"/>
        </w:tc>
      </w:tr>
      <w:tr w:rsidR="004A6F7B" w:rsidTr="004A6F7B">
        <w:tc>
          <w:tcPr>
            <w:tcW w:w="2898" w:type="dxa"/>
          </w:tcPr>
          <w:p w:rsidR="00811389" w:rsidRPr="0049096D" w:rsidRDefault="00811389" w:rsidP="00D76796">
            <w:pPr>
              <w:rPr>
                <w:b/>
              </w:rPr>
            </w:pPr>
            <w:r w:rsidRPr="0049096D">
              <w:rPr>
                <w:b/>
              </w:rPr>
              <w:t>1</w:t>
            </w:r>
            <w:r w:rsidR="00D76796" w:rsidRPr="0049096D">
              <w:rPr>
                <w:b/>
              </w:rPr>
              <w:t>2</w:t>
            </w:r>
            <w:r w:rsidRPr="0049096D">
              <w:rPr>
                <w:b/>
              </w:rPr>
              <w:t xml:space="preserve"> Service Inspector General</w:t>
            </w:r>
            <w:r w:rsidR="004A6F7B" w:rsidRPr="0049096D">
              <w:rPr>
                <w:b/>
              </w:rPr>
              <w:t xml:space="preserve"> (IG)</w:t>
            </w:r>
            <w:r w:rsidR="0049096D" w:rsidRPr="0049096D">
              <w:rPr>
                <w:b/>
              </w:rPr>
              <w:t xml:space="preserve"> / Red Team Exercises</w:t>
            </w:r>
          </w:p>
        </w:tc>
        <w:tc>
          <w:tcPr>
            <w:tcW w:w="1800" w:type="dxa"/>
            <w:shd w:val="clear" w:color="auto" w:fill="FF0000"/>
          </w:tcPr>
          <w:p w:rsidR="00811389" w:rsidRDefault="00811389"/>
        </w:tc>
        <w:tc>
          <w:tcPr>
            <w:tcW w:w="1890" w:type="dxa"/>
            <w:shd w:val="clear" w:color="auto" w:fill="FF0000"/>
          </w:tcPr>
          <w:p w:rsidR="00811389" w:rsidRDefault="00811389"/>
        </w:tc>
        <w:tc>
          <w:tcPr>
            <w:tcW w:w="1526" w:type="dxa"/>
            <w:shd w:val="clear" w:color="auto" w:fill="FF0000"/>
          </w:tcPr>
          <w:p w:rsidR="00811389" w:rsidRDefault="00811389"/>
        </w:tc>
        <w:tc>
          <w:tcPr>
            <w:tcW w:w="1462" w:type="dxa"/>
            <w:shd w:val="clear" w:color="auto" w:fill="FF0000"/>
          </w:tcPr>
          <w:p w:rsidR="00811389" w:rsidRDefault="00811389"/>
        </w:tc>
      </w:tr>
      <w:tr w:rsidR="004A6F7B" w:rsidTr="004A6F7B">
        <w:tc>
          <w:tcPr>
            <w:tcW w:w="2898" w:type="dxa"/>
          </w:tcPr>
          <w:p w:rsidR="00811389" w:rsidRPr="0049096D" w:rsidRDefault="00811389" w:rsidP="00D76796">
            <w:pPr>
              <w:rPr>
                <w:b/>
              </w:rPr>
            </w:pPr>
            <w:r w:rsidRPr="0049096D">
              <w:rPr>
                <w:b/>
              </w:rPr>
              <w:t>1</w:t>
            </w:r>
            <w:r w:rsidR="00D76796" w:rsidRPr="0049096D">
              <w:rPr>
                <w:b/>
              </w:rPr>
              <w:t>3</w:t>
            </w:r>
            <w:r w:rsidRPr="0049096D">
              <w:rPr>
                <w:b/>
              </w:rPr>
              <w:t xml:space="preserve"> Operational Test &amp; Evaluation</w:t>
            </w:r>
          </w:p>
        </w:tc>
        <w:tc>
          <w:tcPr>
            <w:tcW w:w="1800" w:type="dxa"/>
            <w:shd w:val="clear" w:color="auto" w:fill="FF0000"/>
          </w:tcPr>
          <w:p w:rsidR="00811389" w:rsidRDefault="00811389"/>
        </w:tc>
        <w:tc>
          <w:tcPr>
            <w:tcW w:w="1890" w:type="dxa"/>
            <w:shd w:val="clear" w:color="auto" w:fill="FF0000"/>
          </w:tcPr>
          <w:p w:rsidR="00811389" w:rsidRDefault="00811389"/>
        </w:tc>
        <w:tc>
          <w:tcPr>
            <w:tcW w:w="1526" w:type="dxa"/>
            <w:shd w:val="clear" w:color="auto" w:fill="FF0000"/>
          </w:tcPr>
          <w:p w:rsidR="00811389" w:rsidRDefault="00811389"/>
        </w:tc>
        <w:tc>
          <w:tcPr>
            <w:tcW w:w="1462" w:type="dxa"/>
            <w:shd w:val="clear" w:color="auto" w:fill="FF0000"/>
          </w:tcPr>
          <w:p w:rsidR="00811389" w:rsidRDefault="00811389"/>
        </w:tc>
      </w:tr>
      <w:tr w:rsidR="004A6F7B" w:rsidTr="0049096D">
        <w:tc>
          <w:tcPr>
            <w:tcW w:w="2898" w:type="dxa"/>
          </w:tcPr>
          <w:p w:rsidR="00811389" w:rsidRPr="0049096D" w:rsidRDefault="00811389" w:rsidP="0049096D">
            <w:pPr>
              <w:rPr>
                <w:b/>
              </w:rPr>
            </w:pPr>
            <w:r w:rsidRPr="0049096D">
              <w:rPr>
                <w:b/>
              </w:rPr>
              <w:t>1</w:t>
            </w:r>
            <w:r w:rsidR="00D76796" w:rsidRPr="0049096D">
              <w:rPr>
                <w:b/>
              </w:rPr>
              <w:t>4</w:t>
            </w:r>
            <w:r w:rsidRPr="0049096D">
              <w:rPr>
                <w:b/>
              </w:rPr>
              <w:t xml:space="preserve"> Service Individual Eyes and Ears</w:t>
            </w:r>
          </w:p>
        </w:tc>
        <w:tc>
          <w:tcPr>
            <w:tcW w:w="1800" w:type="dxa"/>
            <w:shd w:val="clear" w:color="auto" w:fill="FF0000"/>
          </w:tcPr>
          <w:p w:rsidR="00811389" w:rsidRDefault="00811389"/>
        </w:tc>
        <w:tc>
          <w:tcPr>
            <w:tcW w:w="1890" w:type="dxa"/>
            <w:shd w:val="clear" w:color="auto" w:fill="FF0000"/>
          </w:tcPr>
          <w:p w:rsidR="00811389" w:rsidRDefault="00811389"/>
        </w:tc>
        <w:tc>
          <w:tcPr>
            <w:tcW w:w="1526" w:type="dxa"/>
            <w:shd w:val="clear" w:color="auto" w:fill="FFFF00"/>
          </w:tcPr>
          <w:p w:rsidR="00811389" w:rsidRDefault="00811389"/>
        </w:tc>
        <w:tc>
          <w:tcPr>
            <w:tcW w:w="1462" w:type="dxa"/>
            <w:shd w:val="clear" w:color="auto" w:fill="FF0000"/>
          </w:tcPr>
          <w:p w:rsidR="00811389" w:rsidRDefault="00811389"/>
        </w:tc>
      </w:tr>
      <w:tr w:rsidR="004A6F7B" w:rsidTr="004A6F7B">
        <w:tc>
          <w:tcPr>
            <w:tcW w:w="2898" w:type="dxa"/>
          </w:tcPr>
          <w:p w:rsidR="00811389" w:rsidRPr="0049096D" w:rsidRDefault="00811389">
            <w:pPr>
              <w:rPr>
                <w:b/>
              </w:rPr>
            </w:pPr>
            <w:r w:rsidRPr="0049096D">
              <w:rPr>
                <w:b/>
              </w:rPr>
              <w:t>15</w:t>
            </w:r>
            <w:r w:rsidR="00D76796" w:rsidRPr="0049096D">
              <w:rPr>
                <w:b/>
              </w:rPr>
              <w:t xml:space="preserve">  Citizen</w:t>
            </w:r>
            <w:r w:rsidR="004A6F7B" w:rsidRPr="0049096D">
              <w:rPr>
                <w:b/>
              </w:rPr>
              <w:t xml:space="preserve">/Foreign </w:t>
            </w:r>
            <w:r w:rsidR="00D76796" w:rsidRPr="0049096D">
              <w:rPr>
                <w:b/>
              </w:rPr>
              <w:t xml:space="preserve"> Volunteers</w:t>
            </w:r>
            <w:r w:rsidR="004A6F7B" w:rsidRPr="0049096D">
              <w:rPr>
                <w:b/>
              </w:rPr>
              <w:t xml:space="preserve"> &amp; Walk-Ins</w:t>
            </w:r>
          </w:p>
        </w:tc>
        <w:tc>
          <w:tcPr>
            <w:tcW w:w="1800" w:type="dxa"/>
            <w:shd w:val="clear" w:color="auto" w:fill="FF0000"/>
          </w:tcPr>
          <w:p w:rsidR="00811389" w:rsidRDefault="00811389"/>
        </w:tc>
        <w:tc>
          <w:tcPr>
            <w:tcW w:w="1890" w:type="dxa"/>
            <w:shd w:val="clear" w:color="auto" w:fill="FF0000"/>
          </w:tcPr>
          <w:p w:rsidR="00811389" w:rsidRDefault="00811389"/>
        </w:tc>
        <w:tc>
          <w:tcPr>
            <w:tcW w:w="1526" w:type="dxa"/>
            <w:shd w:val="clear" w:color="auto" w:fill="FF0000"/>
          </w:tcPr>
          <w:p w:rsidR="00811389" w:rsidRDefault="00811389"/>
        </w:tc>
        <w:tc>
          <w:tcPr>
            <w:tcW w:w="1462" w:type="dxa"/>
            <w:shd w:val="clear" w:color="auto" w:fill="FF0000"/>
          </w:tcPr>
          <w:p w:rsidR="00811389" w:rsidRDefault="00811389"/>
        </w:tc>
      </w:tr>
    </w:tbl>
    <w:p w:rsidR="00FD58F0" w:rsidRDefault="00F6751B" w:rsidP="00F6751B">
      <w:pPr>
        <w:spacing w:before="240"/>
      </w:pPr>
      <w:r>
        <w:t>Each square above can also be divided into collection, processing, analysis, and impact.  The weakness of one or more of these four reduces the total functionality of the whole.</w:t>
      </w:r>
    </w:p>
    <w:p w:rsidR="00F6751B" w:rsidRDefault="00F6751B">
      <w:r>
        <w:t>Each square also has a separate value against specific target countries, groups, or subject-matter sub-sets.  Generally outcomes are better for any given country at the strategic level, and then drop radically toward useless when addressing the tribal and neighborhood levels.</w:t>
      </w:r>
    </w:p>
    <w:p w:rsidR="00F6751B" w:rsidRDefault="00F6751B">
      <w:r>
        <w:t>21</w:t>
      </w:r>
      <w:r w:rsidRPr="00F6751B">
        <w:rPr>
          <w:vertAlign w:val="superscript"/>
        </w:rPr>
        <w:t>st</w:t>
      </w:r>
      <w:r>
        <w:t xml:space="preserve"> Century demands that Human Intelligence (HUMINT) and Open Source Intelligence (OSINT) be managed by the same functional manager, and that the spectrum of HUMINT and OSINT sources and methods be managed as an integrated whole, country by country, tribe by tribe, subject by subject.</w:t>
      </w:r>
    </w:p>
    <w:sectPr w:rsidR="00F6751B"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89"/>
    <w:rsid w:val="001A4E58"/>
    <w:rsid w:val="00363212"/>
    <w:rsid w:val="0049096D"/>
    <w:rsid w:val="004A6F7B"/>
    <w:rsid w:val="00782109"/>
    <w:rsid w:val="00811389"/>
    <w:rsid w:val="00D76796"/>
    <w:rsid w:val="00F6751B"/>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2012-12-10T14:27:00Z</dcterms:created>
  <dcterms:modified xsi:type="dcterms:W3CDTF">2012-12-10T14:27:00Z</dcterms:modified>
</cp:coreProperties>
</file>